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Job Description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178"/>
        <w:tblGridChange w:id="0">
          <w:tblGrid>
            <w:gridCol w:w="1838"/>
            <w:gridCol w:w="7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Job Title: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Accounts Assistant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Department: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Finance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Reports to: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Senior Accountant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Supervises: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Revision Date: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January 2025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Job Purpose</w:t>
      </w:r>
    </w:p>
    <w:p w:rsidR="00000000" w:rsidDel="00000000" w:rsidP="00000000" w:rsidRDefault="00000000" w:rsidRPr="00000000" w14:paraId="0000000E">
      <w:pPr>
        <w:pStyle w:val="Heading1"/>
        <w:spacing w:before="29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Accounts Assistant will  support day-to-day financial operations, including transactional processing and maintaining accurate records. This role ensures efficient execution of financial processes and supports the operational and reporting tasks.</w:t>
      </w:r>
    </w:p>
    <w:p w:rsidR="00000000" w:rsidDel="00000000" w:rsidP="00000000" w:rsidRDefault="00000000" w:rsidRPr="00000000" w14:paraId="0000000F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Key Duties/ Responsibilities</w:t>
      </w:r>
    </w:p>
    <w:p w:rsidR="00000000" w:rsidDel="00000000" w:rsidP="00000000" w:rsidRDefault="00000000" w:rsidRPr="00000000" w14:paraId="00000010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Financial Transactions and Processes: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and process payment vouchers, ensuring proper approvals and documentation.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 and maintain supporting documents for cash advances and requisitions.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 supplier payments and ensure contracts are up-to-date for key vendors.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and update cheque, petty cash, and tax registers.</w:t>
      </w:r>
    </w:p>
    <w:p w:rsidR="00000000" w:rsidDel="00000000" w:rsidP="00000000" w:rsidRDefault="00000000" w:rsidRPr="00000000" w14:paraId="00000015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Petty Cash and Reconciliation: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daily petty cash reconciliation statements.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accurate and updated petty cash and cheque registers.</w:t>
      </w:r>
    </w:p>
    <w:p w:rsidR="00000000" w:rsidDel="00000000" w:rsidP="00000000" w:rsidRDefault="00000000" w:rsidRPr="00000000" w14:paraId="00000019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Data Management and Reporting: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updates on school activity schedules.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preparing supporting schedules for weekly and monthly reports.</w:t>
      </w:r>
    </w:p>
    <w:p w:rsidR="00000000" w:rsidDel="00000000" w:rsidP="00000000" w:rsidRDefault="00000000" w:rsidRPr="00000000" w14:paraId="0000001D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Payroll Support: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Administer payroll inputs and ensure they are submitted accurately and on time.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 as a liaison for resolving salary-related issues at the campus level.</w:t>
      </w:r>
    </w:p>
    <w:p w:rsidR="00000000" w:rsidDel="00000000" w:rsidP="00000000" w:rsidRDefault="00000000" w:rsidRPr="00000000" w14:paraId="00000021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Internal Controls and Banking: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in implementing internal controls and monitoring compliance.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 banking transactions as needed, ensuring proper documentation.</w:t>
      </w:r>
    </w:p>
    <w:p w:rsidR="00000000" w:rsidDel="00000000" w:rsidP="00000000" w:rsidRDefault="00000000" w:rsidRPr="00000000" w14:paraId="00000025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General Support: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during internal and external audits by providing relevant documentation.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 any additional duties as may be assigned.</w:t>
      </w:r>
    </w:p>
    <w:p w:rsidR="00000000" w:rsidDel="00000000" w:rsidP="00000000" w:rsidRDefault="00000000" w:rsidRPr="00000000" w14:paraId="00000029">
      <w:pPr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Play" w:cs="Play" w:eastAsia="Play" w:hAnsi="Play"/>
          <w:b w:val="1"/>
          <w:bCs w:val="1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2"/>
          <w:szCs w:val="22"/>
          <w:rtl w:val="0"/>
        </w:rPr>
        <w:t xml:space="preserve">Experience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280" w:line="240" w:lineRule="auto"/>
        <w:ind w:left="720" w:hanging="360"/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sz w:val="22"/>
          <w:szCs w:val="22"/>
          <w:rtl w:val="0"/>
        </w:rPr>
        <w:t xml:space="preserve">Bachelors Degree in Accounting or CPA Part II plus any other relevant academic qualifications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sz w:val="22"/>
          <w:szCs w:val="22"/>
          <w:rtl w:val="0"/>
        </w:rPr>
        <w:t xml:space="preserve">Basic knowledge of financial reporting and reconciliations.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sz w:val="22"/>
          <w:szCs w:val="22"/>
          <w:rtl w:val="0"/>
        </w:rPr>
        <w:t xml:space="preserve">Competent in MS Excel, Word and familiarity with accounting systems.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sz w:val="22"/>
          <w:szCs w:val="22"/>
          <w:rtl w:val="0"/>
        </w:rPr>
        <w:t xml:space="preserve">Strong organizational skills with attention to detail.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80" w:before="0" w:line="240" w:lineRule="auto"/>
        <w:ind w:left="720" w:hanging="360"/>
        <w:jc w:val="both"/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Fonts w:ascii="Play" w:cs="Play" w:eastAsia="Play" w:hAnsi="Play"/>
          <w:sz w:val="22"/>
          <w:szCs w:val="22"/>
          <w:rtl w:val="0"/>
        </w:rPr>
        <w:t xml:space="preserve">Ability to follow instructions and meet deadlines effectively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60" w:lineRule="auto"/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Approval Job Holder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60" w:lineRule="auto"/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Supervisor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60" w:lineRule="auto"/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Accounts Assistant</w:t>
            </w:r>
          </w:p>
          <w:p w:rsidR="00000000" w:rsidDel="00000000" w:rsidP="00000000" w:rsidRDefault="00000000" w:rsidRPr="00000000" w14:paraId="00000034">
            <w:pPr>
              <w:spacing w:after="160" w:lineRule="auto"/>
              <w:rPr>
                <w:rFonts w:ascii="Play" w:cs="Play" w:eastAsia="Play" w:hAnsi="Play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Signature:</w:t>
            </w: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u w:val="single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35">
            <w:pPr>
              <w:spacing w:after="160" w:lineRule="auto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Date:</w:t>
            </w: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u w:val="singl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Rule="auto"/>
              <w:rPr>
                <w:rFonts w:ascii="Play" w:cs="Play" w:eastAsia="Play" w:hAnsi="Pl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2"/>
                <w:szCs w:val="22"/>
                <w:rtl w:val="0"/>
              </w:rPr>
              <w:t xml:space="preserve">Senior Accountant</w:t>
            </w:r>
          </w:p>
          <w:p w:rsidR="00000000" w:rsidDel="00000000" w:rsidP="00000000" w:rsidRDefault="00000000" w:rsidRPr="00000000" w14:paraId="00000037">
            <w:pPr>
              <w:spacing w:after="160" w:lineRule="auto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Signature:</w:t>
            </w: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u w:val="single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60" w:lineRule="auto"/>
              <w:rPr>
                <w:rFonts w:ascii="Play" w:cs="Play" w:eastAsia="Play" w:hAnsi="Play"/>
                <w:sz w:val="22"/>
                <w:szCs w:val="22"/>
              </w:rPr>
            </w:pP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rtl w:val="0"/>
              </w:rPr>
              <w:t xml:space="preserve">Date:</w:t>
            </w:r>
            <w:r w:rsidDel="00000000" w:rsidR="00000000" w:rsidRPr="00000000">
              <w:rPr>
                <w:rFonts w:ascii="Play" w:cs="Play" w:eastAsia="Play" w:hAnsi="Play"/>
                <w:sz w:val="22"/>
                <w:szCs w:val="22"/>
                <w:u w:val="single"/>
                <w:rtl w:val="0"/>
              </w:rPr>
              <w:t xml:space="preserve"> </w:t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Play" w:cs="Play" w:eastAsia="Play" w:hAnsi="Play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20" w:hanging="360"/>
      </w:pPr>
      <w:rPr/>
    </w:lvl>
    <w:lvl w:ilvl="2">
      <w:start w:val="0"/>
      <w:numFmt w:val="bullet"/>
      <w:lvlText w:val="•"/>
      <w:lvlJc w:val="left"/>
      <w:pPr>
        <w:ind w:left="2520" w:hanging="360"/>
      </w:pPr>
      <w:rPr/>
    </w:lvl>
    <w:lvl w:ilvl="3">
      <w:start w:val="0"/>
      <w:numFmt w:val="bullet"/>
      <w:lvlText w:val="•"/>
      <w:lvlJc w:val="left"/>
      <w:pPr>
        <w:ind w:left="3420" w:hanging="360"/>
      </w:pPr>
      <w:rPr/>
    </w:lvl>
    <w:lvl w:ilvl="4">
      <w:start w:val="0"/>
      <w:numFmt w:val="bullet"/>
      <w:lvlText w:val="•"/>
      <w:lvlJc w:val="left"/>
      <w:pPr>
        <w:ind w:left="4320" w:hanging="360"/>
      </w:pPr>
      <w:rPr/>
    </w:lvl>
    <w:lvl w:ilvl="5">
      <w:start w:val="0"/>
      <w:numFmt w:val="bullet"/>
      <w:lvlText w:val="•"/>
      <w:lvlJc w:val="left"/>
      <w:pPr>
        <w:ind w:left="5220" w:hanging="360"/>
      </w:pPr>
      <w:rPr/>
    </w:lvl>
    <w:lvl w:ilvl="6">
      <w:start w:val="0"/>
      <w:numFmt w:val="bullet"/>
      <w:lvlText w:val="•"/>
      <w:lvlJc w:val="left"/>
      <w:pPr>
        <w:ind w:left="6120" w:hanging="360"/>
      </w:pPr>
      <w:rPr/>
    </w:lvl>
    <w:lvl w:ilvl="7">
      <w:start w:val="0"/>
      <w:numFmt w:val="bullet"/>
      <w:lvlText w:val="•"/>
      <w:lvlJc w:val="left"/>
      <w:pPr>
        <w:ind w:left="7020" w:hanging="360"/>
      </w:pPr>
      <w:rPr/>
    </w:lvl>
    <w:lvl w:ilvl="8">
      <w:start w:val="0"/>
      <w:numFmt w:val="bullet"/>
      <w:lvlText w:val="•"/>
      <w:lvlJc w:val="left"/>
      <w:pPr>
        <w:ind w:left="79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K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d6puGc2RbyzmyPFhqqrhYI/PA==">CgMxLjA4AHIhMXd2WWp3N2VPOG9sWVhkaTB0YUNWdG1rVk9ITHJDcmdn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