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127000</wp:posOffset>
                </wp:positionH>
                <wp:positionV relativeFrom="page">
                  <wp:posOffset>114350</wp:posOffset>
                </wp:positionV>
                <wp:extent cx="7646034" cy="169545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2975" y="2932275"/>
                          <a:ext cx="7646034" cy="1695450"/>
                          <a:chOff x="1522975" y="2932275"/>
                          <a:chExt cx="7646050" cy="1695450"/>
                        </a:xfrm>
                      </wpg:grpSpPr>
                      <wpg:grpSp>
                        <wpg:cNvGrpSpPr/>
                        <wpg:grpSpPr>
                          <a:xfrm>
                            <a:off x="1522983" y="2932275"/>
                            <a:ext cx="7646025" cy="1695450"/>
                            <a:chOff x="0" y="0"/>
                            <a:chExt cx="7646025" cy="16954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646025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2122" y="0"/>
                              <a:ext cx="6973316" cy="11599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273761"/>
                              <a:ext cx="1212291" cy="14216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127000</wp:posOffset>
                </wp:positionH>
                <wp:positionV relativeFrom="page">
                  <wp:posOffset>114350</wp:posOffset>
                </wp:positionV>
                <wp:extent cx="7646034" cy="16954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4" cy="169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Draft Job Description – Mandarin Teacher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before="243" w:lineRule="auto"/>
        <w:rPr/>
      </w:pPr>
      <w:r w:rsidDel="00000000" w:rsidR="00000000" w:rsidRPr="00000000">
        <w:rPr>
          <w:rtl w:val="0"/>
        </w:rPr>
        <w:t xml:space="preserve">Job Purpose </w:t>
      </w:r>
    </w:p>
    <w:p w:rsidR="00000000" w:rsidDel="00000000" w:rsidP="00000000" w:rsidRDefault="00000000" w:rsidRPr="00000000" w14:paraId="0000000D">
      <w:pPr>
        <w:pStyle w:val="Heading1"/>
        <w:spacing w:before="243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To lead the strategic development and delivery of a high-quality, inclusive Mandarin curriculum (EYFS–Year 7) that caters to both native and non-native learners. This role is responsible for driving pedagogical excellence, fostering deep community engagement with Mandarin-speaking families, and collaborating across the language department to ensure a cohesive, world-class multilingual experience for all students.</w:t>
      </w:r>
    </w:p>
    <w:p w:rsidR="00000000" w:rsidDel="00000000" w:rsidP="00000000" w:rsidRDefault="00000000" w:rsidRPr="00000000" w14:paraId="0000000E">
      <w:pPr>
        <w:pStyle w:val="Heading1"/>
        <w:spacing w:before="243" w:lineRule="auto"/>
        <w:rPr/>
      </w:pPr>
      <w:r w:rsidDel="00000000" w:rsidR="00000000" w:rsidRPr="00000000">
        <w:rPr>
          <w:rtl w:val="0"/>
        </w:rPr>
        <w:t xml:space="preserve">Key Duties/ Responsibilities</w:t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5"/>
        </w:numPr>
        <w:spacing w:before="229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Teaching and Learning</w:t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6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Create vertical alignment from EYFS to Y7 standardising resources for future staff.</w:t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5"/>
        </w:numPr>
        <w:spacing w:before="229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Academic delivery</w:t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6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Leading all lessons. Managing mixed ability classrooms by creating scaffolded learning activities (visuals and extension).</w:t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6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Designing and managing dual pathways to ensure high attaining native speakers are stretched while beginners are supported with high frequency vocabulary.</w:t>
      </w:r>
    </w:p>
    <w:p w:rsidR="00000000" w:rsidDel="00000000" w:rsidP="00000000" w:rsidRDefault="00000000" w:rsidRPr="00000000" w14:paraId="00000014">
      <w:pPr>
        <w:pStyle w:val="Heading1"/>
        <w:numPr>
          <w:ilvl w:val="0"/>
          <w:numId w:val="5"/>
        </w:numPr>
        <w:spacing w:before="229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Cultural Ambassador</w:t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7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Collaborating with Admission Teams to highlight the schools’ unique multilingual offer. </w:t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7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Advising new parents on school culture and expectations.</w:t>
      </w:r>
    </w:p>
    <w:p w:rsidR="00000000" w:rsidDel="00000000" w:rsidP="00000000" w:rsidRDefault="00000000" w:rsidRPr="00000000" w14:paraId="00000017">
      <w:pPr>
        <w:pStyle w:val="Heading1"/>
        <w:numPr>
          <w:ilvl w:val="0"/>
          <w:numId w:val="7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Leading school wide events (Lunar New Year, Mid-Autumn Festival, Dragon Boat Festival).</w:t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5"/>
        </w:numPr>
        <w:spacing w:before="229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Budget &amp; Resource Management</w:t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8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Overseeing the procurement of high quality physical and digital resources within an allocated departmental budget.</w:t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8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Strategically manage and track the departmental budget, ensuring effective procurement and maintenance of resources to support growth of the Mandarin provision.</w:t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8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Strategic Growth: Identify and prioritise future resource need (e.g., library books, software, spcialised teaching aids) to ensure the department scales sustainably alongside student enrolment.</w:t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5"/>
        </w:numPr>
        <w:spacing w:before="229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Community Engagement</w:t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9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Mandarin Lessons for parents’ sessions – basic survival phrases / culture to build home school community links.</w:t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9"/>
        </w:numPr>
        <w:spacing w:before="229" w:lineRule="auto"/>
        <w:ind w:left="144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Establish a Parent Advisory Group for Mandarin to ensure the curriculum and cultural events are co-designed and with community representatives.</w:t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5"/>
        </w:numPr>
        <w:spacing w:before="229" w:lineRule="auto"/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Co-Curricular </w:t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2"/>
        </w:numPr>
        <w:spacing w:before="229" w:lineRule="auto"/>
        <w:ind w:left="1494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Designing a (Saturday) curriculum to ensure native speakers students are challenged beyond the standard HSK level.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Qualifications and Professional Specifications</w:t>
      </w:r>
    </w:p>
    <w:p w:rsidR="00000000" w:rsidDel="00000000" w:rsidP="00000000" w:rsidRDefault="00000000" w:rsidRPr="00000000" w14:paraId="00000023">
      <w:pPr>
        <w:tabs>
          <w:tab w:val="left" w:leader="none" w:pos="72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Educational Excellence: A degree in Mandarin Language Education and recognized teaching certification e.g., PGCE, QTS or equivalent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Linguistic Proficiency: Near native fluency in Mandarin and English to facilitate high-level communication between staff, admissions and parent groups.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Design: Proven experience in developing a vertical curriculum and experience in mapping progress against international frameworks (e.g., HSK, YCT) to provide clear data on student growth.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Resource Curation: Demonstrated ability to evaluate and select high quality, culturally authentic physical and digital resources that offer long term value for money.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Competence in leveraging educational technology (Mandarin Matrix, Wo Hui).</w:t>
      </w:r>
    </w:p>
    <w:p w:rsidR="00000000" w:rsidDel="00000000" w:rsidP="00000000" w:rsidRDefault="00000000" w:rsidRPr="00000000" w14:paraId="00000029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Cultural Agility: The ability to interpret and translate cultural expectations, acting as a bridge to help staff and Chinese families understand one another’s perspectives.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Empathy: Patient, approachable demeanor.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Collaborative mindset: A proactive “team-first” attitude to work with academic, business administration staff.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720" w:right="232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Discretion and Sensitivity: High emotional intelligence when handling the integration of new families to feel welcomed rather than overwhelmed. Strong analytical skills and a strategic thinker with ability to conceptualize downstream impact of key decisions. Understanding of the Company’s strategic direction and industry forces and trends that shape that direction.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1" w:lineRule="auto"/>
        <w:ind w:left="720" w:right="355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communicate effectively at all levels, particularly with senior management, and engage diverse audiences to influence strategic alignment.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Leadership and decision-making skills.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34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relationship manager with strong interpersonal and communication skills.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35" w:line="24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Highest level of personal and professional integrity.</w:t>
      </w:r>
    </w:p>
    <w:sectPr>
      <w:footerReference r:id="rId10" w:type="default"/>
      <w:pgSz w:h="16340" w:w="12240" w:orient="portrait"/>
      <w:pgMar w:bottom="1240" w:top="1340" w:left="1440" w:right="1440" w:header="0" w:footer="10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5827585</wp:posOffset>
              </wp:positionH>
              <wp:positionV relativeFrom="paragraph">
                <wp:posOffset>9560292</wp:posOffset>
              </wp:positionV>
              <wp:extent cx="173355" cy="2063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4085" y="3681575"/>
                        <a:ext cx="16383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5827585</wp:posOffset>
              </wp:positionH>
              <wp:positionV relativeFrom="paragraph">
                <wp:posOffset>9560292</wp:posOffset>
              </wp:positionV>
              <wp:extent cx="173355" cy="2063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355" cy="206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left"/>
      <w:pPr>
        <w:ind w:left="720" w:hanging="476"/>
      </w:pPr>
      <w:rPr>
        <w:rFonts w:ascii="Trebuchet MS" w:cs="Trebuchet MS" w:eastAsia="Trebuchet MS" w:hAnsi="Trebuchet M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448" w:hanging="360"/>
      </w:pPr>
      <w:rPr/>
    </w:lvl>
    <w:lvl w:ilvl="3">
      <w:start w:val="0"/>
      <w:numFmt w:val="bullet"/>
      <w:lvlText w:val="•"/>
      <w:lvlJc w:val="left"/>
      <w:pPr>
        <w:ind w:left="3312" w:hanging="360"/>
      </w:pPr>
      <w:rPr/>
    </w:lvl>
    <w:lvl w:ilvl="4">
      <w:start w:val="0"/>
      <w:numFmt w:val="bullet"/>
      <w:lvlText w:val="•"/>
      <w:lvlJc w:val="left"/>
      <w:pPr>
        <w:ind w:left="4176" w:hanging="360"/>
      </w:pPr>
      <w:rPr/>
    </w:lvl>
    <w:lvl w:ilvl="5">
      <w:start w:val="0"/>
      <w:numFmt w:val="bullet"/>
      <w:lvlText w:val="•"/>
      <w:lvlJc w:val="left"/>
      <w:pPr>
        <w:ind w:left="5040" w:hanging="360"/>
      </w:pPr>
      <w:rPr/>
    </w:lvl>
    <w:lvl w:ilvl="6">
      <w:start w:val="0"/>
      <w:numFmt w:val="bullet"/>
      <w:lvlText w:val="•"/>
      <w:lvlJc w:val="left"/>
      <w:pPr>
        <w:ind w:left="5904" w:hanging="360"/>
      </w:pPr>
      <w:rPr/>
    </w:lvl>
    <w:lvl w:ilvl="7">
      <w:start w:val="0"/>
      <w:numFmt w:val="bullet"/>
      <w:lvlText w:val="•"/>
      <w:lvlJc w:val="left"/>
      <w:pPr>
        <w:ind w:left="6768" w:hanging="360"/>
      </w:pPr>
      <w:rPr/>
    </w:lvl>
    <w:lvl w:ilvl="8">
      <w:start w:val="0"/>
      <w:numFmt w:val="bullet"/>
      <w:lvlText w:val="•"/>
      <w:lvlJc w:val="left"/>
      <w:pPr>
        <w:ind w:left="7632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UMWIB2XX+F/5T/6B/GAyMZ24g==">CgMxLjA4AHIhMU53SEQ4ekVWMjlLYlM4MUdMLTEtVzR0TTZqX3hsQWl2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2026-03-26T00:00:00Z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2026-04-24T00:00:00Z</vt:lpwstr>
  </property>
  <property fmtid="{D5CDD505-2E9C-101B-9397-08002B2CF9AE}" pid="5" name="Producer">
    <vt:lpwstr>Microsoft® Word for Microsoft 365</vt:lpwstr>
  </property>
</Properties>
</file>